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9212"/>
      </w:tblGrid>
      <w:tr w:rsidR="00743137" w:rsidTr="00743137">
        <w:tc>
          <w:tcPr>
            <w:tcW w:w="9212" w:type="dxa"/>
            <w:hideMark/>
          </w:tcPr>
          <w:p w:rsidR="00743137" w:rsidRDefault="00743137">
            <w:pPr>
              <w:spacing w:line="276" w:lineRule="auto"/>
              <w:jc w:val="center"/>
              <w:rPr>
                <w:rFonts w:eastAsia="Calibri"/>
                <w:lang w:eastAsia="en-US"/>
              </w:rPr>
            </w:pPr>
            <w:r>
              <w:rPr>
                <w:rFonts w:eastAsia="Calibri"/>
                <w:lang w:eastAsia="en-US"/>
              </w:rPr>
              <w:t>T.C.</w:t>
            </w:r>
            <w:r>
              <w:rPr>
                <w:rFonts w:eastAsia="Calibri"/>
                <w:lang w:eastAsia="en-US"/>
              </w:rPr>
              <w:br/>
              <w:t>MALİYE BAKANLIĞI</w:t>
            </w:r>
            <w:r>
              <w:rPr>
                <w:rFonts w:eastAsia="Calibri"/>
                <w:lang w:eastAsia="en-US"/>
              </w:rPr>
              <w:br/>
              <w:t>Muhasebat Genel Müdürlüğü</w:t>
            </w:r>
          </w:p>
        </w:tc>
      </w:tr>
    </w:tbl>
    <w:p w:rsidR="00743137" w:rsidRDefault="00743137" w:rsidP="00743137"/>
    <w:tbl>
      <w:tblPr>
        <w:tblW w:w="0" w:type="auto"/>
        <w:tblLook w:val="04A0" w:firstRow="1" w:lastRow="0" w:firstColumn="1" w:lastColumn="0" w:noHBand="0" w:noVBand="1"/>
      </w:tblPr>
      <w:tblGrid>
        <w:gridCol w:w="959"/>
        <w:gridCol w:w="6804"/>
        <w:gridCol w:w="1449"/>
      </w:tblGrid>
      <w:tr w:rsidR="00743137" w:rsidTr="00743137">
        <w:tc>
          <w:tcPr>
            <w:tcW w:w="959" w:type="dxa"/>
            <w:hideMark/>
          </w:tcPr>
          <w:p w:rsidR="00743137" w:rsidRDefault="00743137">
            <w:pPr>
              <w:spacing w:line="276" w:lineRule="auto"/>
              <w:rPr>
                <w:rFonts w:eastAsia="Calibri"/>
                <w:lang w:eastAsia="en-US"/>
              </w:rPr>
            </w:pPr>
            <w:proofErr w:type="gramStart"/>
            <w:r>
              <w:rPr>
                <w:rFonts w:eastAsia="Calibri"/>
                <w:lang w:eastAsia="en-US"/>
              </w:rPr>
              <w:t>Sayı   :</w:t>
            </w:r>
            <w:proofErr w:type="gramEnd"/>
          </w:p>
        </w:tc>
        <w:tc>
          <w:tcPr>
            <w:tcW w:w="6804" w:type="dxa"/>
            <w:hideMark/>
          </w:tcPr>
          <w:p w:rsidR="00743137" w:rsidRDefault="00743137">
            <w:pPr>
              <w:spacing w:line="276" w:lineRule="auto"/>
              <w:rPr>
                <w:rFonts w:eastAsia="Calibri"/>
                <w:lang w:eastAsia="en-US"/>
              </w:rPr>
            </w:pPr>
            <w:proofErr w:type="gramStart"/>
            <w:r>
              <w:rPr>
                <w:rFonts w:eastAsia="Calibri"/>
                <w:lang w:eastAsia="en-US"/>
              </w:rPr>
              <w:t>90192509</w:t>
            </w:r>
            <w:proofErr w:type="gramEnd"/>
            <w:r>
              <w:rPr>
                <w:rFonts w:eastAsia="Calibri"/>
                <w:lang w:eastAsia="en-US"/>
              </w:rPr>
              <w:t>-220.05-10373</w:t>
            </w:r>
          </w:p>
        </w:tc>
        <w:tc>
          <w:tcPr>
            <w:tcW w:w="1449" w:type="dxa"/>
            <w:hideMark/>
          </w:tcPr>
          <w:p w:rsidR="00743137" w:rsidRDefault="00743137">
            <w:pPr>
              <w:spacing w:line="276" w:lineRule="auto"/>
              <w:jc w:val="right"/>
              <w:rPr>
                <w:rFonts w:eastAsia="Calibri"/>
                <w:lang w:eastAsia="en-US"/>
              </w:rPr>
            </w:pPr>
            <w:proofErr w:type="gramStart"/>
            <w:r>
              <w:rPr>
                <w:rFonts w:eastAsia="Calibri"/>
                <w:lang w:eastAsia="en-US"/>
              </w:rPr>
              <w:t>26/10/2015</w:t>
            </w:r>
            <w:proofErr w:type="gramEnd"/>
          </w:p>
        </w:tc>
      </w:tr>
      <w:tr w:rsidR="00743137" w:rsidTr="00743137">
        <w:tc>
          <w:tcPr>
            <w:tcW w:w="959" w:type="dxa"/>
            <w:hideMark/>
          </w:tcPr>
          <w:p w:rsidR="00743137" w:rsidRDefault="00743137">
            <w:pPr>
              <w:spacing w:line="276" w:lineRule="auto"/>
              <w:rPr>
                <w:rFonts w:eastAsia="Calibri"/>
                <w:lang w:eastAsia="en-US"/>
              </w:rPr>
            </w:pPr>
            <w:proofErr w:type="gramStart"/>
            <w:r>
              <w:rPr>
                <w:rFonts w:eastAsia="Calibri"/>
                <w:lang w:eastAsia="en-US"/>
              </w:rPr>
              <w:t>Konu :</w:t>
            </w:r>
            <w:proofErr w:type="gramEnd"/>
          </w:p>
        </w:tc>
        <w:tc>
          <w:tcPr>
            <w:tcW w:w="8253" w:type="dxa"/>
            <w:gridSpan w:val="2"/>
            <w:hideMark/>
          </w:tcPr>
          <w:p w:rsidR="00743137" w:rsidRDefault="00743137">
            <w:pPr>
              <w:spacing w:line="276" w:lineRule="auto"/>
              <w:rPr>
                <w:rFonts w:eastAsia="Calibri"/>
                <w:lang w:eastAsia="en-US"/>
              </w:rPr>
            </w:pPr>
            <w:r>
              <w:rPr>
                <w:rFonts w:eastAsia="Calibri"/>
                <w:lang w:eastAsia="en-US"/>
              </w:rPr>
              <w:t>Doğalgaz Abone Bağlantı Bedeli</w:t>
            </w:r>
          </w:p>
        </w:tc>
      </w:tr>
    </w:tbl>
    <w:p w:rsidR="00743137" w:rsidRDefault="00743137" w:rsidP="00743137"/>
    <w:p w:rsidR="00743137" w:rsidRDefault="00743137" w:rsidP="00743137"/>
    <w:p w:rsidR="00743137" w:rsidRDefault="00743137" w:rsidP="00743137"/>
    <w:tbl>
      <w:tblPr>
        <w:tblW w:w="0" w:type="auto"/>
        <w:tblLook w:val="04A0" w:firstRow="1" w:lastRow="0" w:firstColumn="1" w:lastColumn="0" w:noHBand="0" w:noVBand="1"/>
      </w:tblPr>
      <w:tblGrid>
        <w:gridCol w:w="9212"/>
      </w:tblGrid>
      <w:tr w:rsidR="00743137" w:rsidTr="00743137">
        <w:tc>
          <w:tcPr>
            <w:tcW w:w="9212" w:type="dxa"/>
          </w:tcPr>
          <w:p w:rsidR="00743137" w:rsidRDefault="00743137">
            <w:pPr>
              <w:spacing w:line="276" w:lineRule="auto"/>
              <w:jc w:val="center"/>
              <w:rPr>
                <w:rFonts w:eastAsia="Calibri"/>
                <w:lang w:eastAsia="en-US"/>
              </w:rPr>
            </w:pPr>
          </w:p>
        </w:tc>
      </w:tr>
    </w:tbl>
    <w:p w:rsidR="00743137" w:rsidRDefault="00743137" w:rsidP="00743137">
      <w:pPr>
        <w:jc w:val="center"/>
      </w:pPr>
    </w:p>
    <w:p w:rsidR="00743137" w:rsidRDefault="00743137" w:rsidP="00743137">
      <w:pPr>
        <w:jc w:val="center"/>
      </w:pPr>
    </w:p>
    <w:p w:rsidR="00743137" w:rsidRDefault="00743137" w:rsidP="00743137">
      <w:pPr>
        <w:jc w:val="center"/>
      </w:pPr>
    </w:p>
    <w:p w:rsidR="00743137" w:rsidRDefault="00743137" w:rsidP="00743137">
      <w:pPr>
        <w:ind w:firstLine="709"/>
        <w:jc w:val="both"/>
        <w:rPr>
          <w:color w:val="000000"/>
        </w:rPr>
      </w:pPr>
      <w:r>
        <w:rPr>
          <w:color w:val="000000"/>
        </w:rPr>
        <w:t xml:space="preserve">Bakanlığımıza ulaşan bilgilerden; mevcut doğalgaz dağıtım bölgeleri lisans kapsamı dışında kalan merkez nüfusu 10.000‘in üzerindeki ilçelere doğalgaz ulaştırılmasını sağlamak amacıyla yapılacak yatırımlara ilişkin usul ve esasları belirleyen </w:t>
      </w:r>
      <w:proofErr w:type="gramStart"/>
      <w:r>
        <w:rPr>
          <w:color w:val="000000"/>
        </w:rPr>
        <w:t>22/02/2013</w:t>
      </w:r>
      <w:proofErr w:type="gramEnd"/>
      <w:r>
        <w:rPr>
          <w:color w:val="000000"/>
        </w:rPr>
        <w:t xml:space="preserve"> tarihli ve 2013/4347 sayılı Bakanlar Kurulu Kararnamesi kapsamında, il özel idaresince belirlenecek banka hesabına yatırılacak abone bağlantı bedeli için ödeme belgesine eklenecek belgeler hususunda tereddütler yaşandığı anlaşılmıştır.</w:t>
      </w:r>
    </w:p>
    <w:p w:rsidR="00743137" w:rsidRDefault="00743137" w:rsidP="00743137">
      <w:pPr>
        <w:ind w:firstLine="709"/>
        <w:jc w:val="both"/>
        <w:rPr>
          <w:color w:val="000000"/>
        </w:rPr>
      </w:pPr>
      <w:r>
        <w:rPr>
          <w:color w:val="000000"/>
        </w:rPr>
        <w:t xml:space="preserve">Bilindiği üzere, Merkezi Yönetim Harcama Belgeleri Yönetmeliğinin 49 uncu maddesinde; Elektrik, su, doğalgaz ve benzeri tüketim giderlerinin ödenmesinde, kamu kurum ve kuruluşlarınca veya kamu kurum ve kuruluşlarının denetim ve gözetimi altında bir imtiyaz hakkı </w:t>
      </w:r>
      <w:proofErr w:type="gramStart"/>
      <w:r>
        <w:rPr>
          <w:color w:val="000000"/>
        </w:rPr>
        <w:t>dahilinde</w:t>
      </w:r>
      <w:proofErr w:type="gramEnd"/>
      <w:r>
        <w:rPr>
          <w:color w:val="000000"/>
        </w:rPr>
        <w:t xml:space="preserve"> özel hukuk tüzel kişilerince sunulan tekel niteliğindeki elektrik, su, doğalgaz </w:t>
      </w:r>
      <w:proofErr w:type="gramStart"/>
      <w:r>
        <w:rPr>
          <w:color w:val="000000"/>
        </w:rPr>
        <w:t>ve</w:t>
      </w:r>
      <w:proofErr w:type="gramEnd"/>
      <w:r>
        <w:rPr>
          <w:color w:val="000000"/>
        </w:rPr>
        <w:t xml:space="preserve"> benzeri tüketim giderlerinin ödenmesinde faturanın ödeme belgesine bağlanacağı, Yönetmeliğin 4 üncü maddesinde ise Harcama Talimatının, kamu ihale mevzuatına tabi olmayan bir giderin idare adına geçici veya kesin olarak ödenebilmesi için giderin konusunu, gerekçesini, yapılacak iş veya hizmetin süresini, hukuki dayanaklarını, tutarını, kullanılabilir ödeneğini, tertibini, gerçekleştirme usulü ile gerçekleştirmeyle görevli olanlara ilişkin bilgileri gösteren ve harcama yetkilisinin imzasını taşıyan belgeyi ifade ettiği belirtilmektedir.</w:t>
      </w:r>
    </w:p>
    <w:p w:rsidR="00743137" w:rsidRDefault="00743137" w:rsidP="00743137">
      <w:pPr>
        <w:ind w:firstLine="709"/>
        <w:jc w:val="both"/>
        <w:rPr>
          <w:color w:val="000000"/>
        </w:rPr>
      </w:pPr>
      <w:r>
        <w:rPr>
          <w:color w:val="000000"/>
        </w:rPr>
        <w:t xml:space="preserve">Ayrıca, </w:t>
      </w:r>
      <w:proofErr w:type="gramStart"/>
      <w:r>
        <w:rPr>
          <w:color w:val="000000"/>
        </w:rPr>
        <w:t>22/02/2013</w:t>
      </w:r>
      <w:proofErr w:type="gramEnd"/>
      <w:r>
        <w:rPr>
          <w:color w:val="000000"/>
        </w:rPr>
        <w:t xml:space="preserve"> tarihli ve 2013/4347 sayılı Bakanlar Kurulu Kararnamesi Ekinin 2 </w:t>
      </w:r>
      <w:proofErr w:type="spellStart"/>
      <w:r>
        <w:rPr>
          <w:color w:val="000000"/>
        </w:rPr>
        <w:t>nci</w:t>
      </w:r>
      <w:proofErr w:type="spellEnd"/>
      <w:r>
        <w:rPr>
          <w:color w:val="000000"/>
        </w:rPr>
        <w:t xml:space="preserve"> maddesinin birinci fıkrasında; “</w:t>
      </w:r>
      <w:r>
        <w:rPr>
          <w:i/>
          <w:color w:val="000000"/>
        </w:rPr>
        <w:t xml:space="preserve">Mevcut doğal gaz dağıtım bölgeleri lisans kapsamı dışında kalan merkez nüfusu 10.000'in üzerindeki ilçelerden, ilçe merkezindeki toplam elektrik abone sayısının asgari %60'ına tekabül eden elektrik abonesinin, Enerji Piyasası Düzenleme Kurumu tarafından belirlenen abone bağlantı bedelini ilgili il özel idaresince belirlenecek bir banka hesabına yatırmış olan ilçelere doğal gaz ulaştırılmasını </w:t>
      </w:r>
      <w:proofErr w:type="spellStart"/>
      <w:r>
        <w:rPr>
          <w:i/>
          <w:color w:val="000000"/>
        </w:rPr>
        <w:t>teminen</w:t>
      </w:r>
      <w:proofErr w:type="spellEnd"/>
      <w:r>
        <w:rPr>
          <w:i/>
          <w:color w:val="000000"/>
        </w:rPr>
        <w:t xml:space="preserve"> inşa edilmesi gerekli şehir besleme hatları (bağlantı hatları) için gereken yatırımlar, Boru Hatları ile Petrol Taşıma Anonim Şirketi (BOTAŞ) tarafından gerçekleştirilir.” </w:t>
      </w:r>
      <w:r>
        <w:rPr>
          <w:color w:val="000000"/>
        </w:rPr>
        <w:t>hükmü yer almaktadır.</w:t>
      </w:r>
    </w:p>
    <w:p w:rsidR="00743137" w:rsidRDefault="00743137" w:rsidP="00743137">
      <w:pPr>
        <w:ind w:firstLine="709"/>
        <w:jc w:val="both"/>
        <w:rPr>
          <w:color w:val="000000"/>
        </w:rPr>
      </w:pPr>
      <w:r>
        <w:rPr>
          <w:color w:val="000000"/>
        </w:rPr>
        <w:t>Diğer taraftan, 6360 sayılı On Dört İlde Büyükşehir Belediyesi ve Yirmi Yedi İlçe Kurulması ile Bazı Kanun ve Kanun Hükmünde Kararnamelerde Değişiklik Yapılmasına Dair Kanunun 34 üncü maddesinde; “</w:t>
      </w:r>
      <w:r>
        <w:rPr>
          <w:i/>
          <w:color w:val="000000"/>
        </w:rPr>
        <w:t>Büyükşehir belediyelerinin bulunduğu illerde kamu kurum ve kuruluşlarının yatırım ve hizmetlerinin etkin olarak yapılması, izlenmesi ve koordinasyonu, acil çağrı, afet ve acil yardım hizmetlerinin koordinasyonu ve yürütülmesi, ilin tanıtımı, gerektiğinde merkezi idarenin taşrada yapacağı yatırımların yapılması ve koordine edilmesi, temsil, tören, ödüllendirme ve protokol hizmetlerinin yürütülmesi, ildeki kamu kurum ve kuruluşlarına rehberlik edilmesi ve bunların denetlenmesini gerçekleştirmek üzere valiye bağlı olarak Yatırım İzleme ve Koordinasyon Başkanlığı kurulmuştur. Bakanlıklar ve diğer merkezi idare kuruluşları, kaynağını aktarmak şartıyla illerde yapacakları her türlü yatırım, yapım, bakım, onarım ve yardım işlerini bu başkanlık aracılığıyla yapabilirler.</w:t>
      </w:r>
      <w:r>
        <w:rPr>
          <w:color w:val="000000"/>
        </w:rPr>
        <w:t>” hükmüne yer verilmiştir.</w:t>
      </w:r>
    </w:p>
    <w:p w:rsidR="00743137" w:rsidRDefault="00743137" w:rsidP="00743137">
      <w:pPr>
        <w:ind w:firstLine="709"/>
        <w:jc w:val="both"/>
        <w:rPr>
          <w:color w:val="000000"/>
        </w:rPr>
      </w:pPr>
      <w:r>
        <w:rPr>
          <w:color w:val="000000"/>
        </w:rPr>
        <w:lastRenderedPageBreak/>
        <w:t xml:space="preserve">Buna göre, 2013/4347 sayılı Bakanlar Kurulu Kararı hükmü gereğince doğalgaz yatırımının gerçekleştirilebilmesini </w:t>
      </w:r>
      <w:proofErr w:type="spellStart"/>
      <w:r>
        <w:rPr>
          <w:color w:val="000000"/>
        </w:rPr>
        <w:t>teminen</w:t>
      </w:r>
      <w:proofErr w:type="spellEnd"/>
      <w:r>
        <w:rPr>
          <w:color w:val="000000"/>
        </w:rPr>
        <w:t>; büyükşehir belediyesi olan illerde Yatırım İzleme ve Koordinasyon Başkanlıkları</w:t>
      </w:r>
      <w:bookmarkStart w:id="0" w:name="_GoBack"/>
      <w:bookmarkEnd w:id="0"/>
      <w:r>
        <w:rPr>
          <w:color w:val="000000"/>
        </w:rPr>
        <w:t>nın muhasebe hizmetlerini yürüten defterdarlık muhasebe müdürlükleri adına açılan özel hesaba, diğer illerde ise il özel idarelerince belirlenecek banka hesabına yatırılması gereken doğalgaz abone bağlantı bedeli için düzenlenen ödeme belgesine harcama talimatının bağlanmasının yeterli olacağı değerlendirilmektedir.</w:t>
      </w:r>
    </w:p>
    <w:p w:rsidR="00743137" w:rsidRDefault="00743137" w:rsidP="00743137">
      <w:pPr>
        <w:ind w:firstLine="709"/>
        <w:jc w:val="both"/>
      </w:pPr>
      <w:r>
        <w:rPr>
          <w:color w:val="000000"/>
        </w:rPr>
        <w:t>Bilgilerini ve gereğini rica ederim.</w:t>
      </w:r>
    </w:p>
    <w:p w:rsidR="00743137" w:rsidRDefault="00743137" w:rsidP="00743137">
      <w:pPr>
        <w:jc w:val="both"/>
      </w:pPr>
    </w:p>
    <w:p w:rsidR="00743137" w:rsidRDefault="00743137" w:rsidP="00743137">
      <w:pPr>
        <w:jc w:val="both"/>
      </w:pPr>
    </w:p>
    <w:p w:rsidR="00743137" w:rsidRDefault="00743137" w:rsidP="00743137">
      <w:pPr>
        <w:jc w:val="both"/>
      </w:pPr>
    </w:p>
    <w:p w:rsidR="00743137" w:rsidRDefault="00743137" w:rsidP="00743137">
      <w:pPr>
        <w:jc w:val="both"/>
      </w:pPr>
    </w:p>
    <w:tbl>
      <w:tblPr>
        <w:tblW w:w="0" w:type="auto"/>
        <w:tblLook w:val="04A0" w:firstRow="1" w:lastRow="0" w:firstColumn="1" w:lastColumn="0" w:noHBand="0" w:noVBand="1"/>
      </w:tblPr>
      <w:tblGrid>
        <w:gridCol w:w="4606"/>
        <w:gridCol w:w="4606"/>
      </w:tblGrid>
      <w:tr w:rsidR="00743137" w:rsidTr="00743137">
        <w:tc>
          <w:tcPr>
            <w:tcW w:w="4606" w:type="dxa"/>
          </w:tcPr>
          <w:p w:rsidR="00743137" w:rsidRDefault="00743137">
            <w:pPr>
              <w:spacing w:line="276" w:lineRule="auto"/>
              <w:rPr>
                <w:rFonts w:eastAsia="Calibri"/>
                <w:lang w:eastAsia="en-US"/>
              </w:rPr>
            </w:pPr>
          </w:p>
        </w:tc>
        <w:tc>
          <w:tcPr>
            <w:tcW w:w="4606" w:type="dxa"/>
            <w:hideMark/>
          </w:tcPr>
          <w:p w:rsidR="00743137" w:rsidRDefault="00743137">
            <w:pPr>
              <w:spacing w:line="276" w:lineRule="auto"/>
              <w:jc w:val="center"/>
              <w:rPr>
                <w:rFonts w:eastAsia="Calibri"/>
                <w:lang w:eastAsia="en-US"/>
              </w:rPr>
            </w:pPr>
            <w:r>
              <w:rPr>
                <w:rFonts w:eastAsia="Calibri"/>
                <w:lang w:eastAsia="en-US"/>
              </w:rPr>
              <w:t>Ertan ERÜZ</w:t>
            </w:r>
            <w:r>
              <w:rPr>
                <w:rFonts w:eastAsia="Calibri"/>
                <w:lang w:eastAsia="en-US"/>
              </w:rPr>
              <w:br/>
              <w:t>Bakan a.</w:t>
            </w:r>
            <w:r>
              <w:rPr>
                <w:rFonts w:eastAsia="Calibri"/>
                <w:lang w:eastAsia="en-US"/>
              </w:rPr>
              <w:br/>
              <w:t>Genel Müdür V.</w:t>
            </w:r>
          </w:p>
        </w:tc>
      </w:tr>
    </w:tbl>
    <w:p w:rsidR="00743137" w:rsidRDefault="00743137" w:rsidP="00743137"/>
    <w:p w:rsidR="00743137" w:rsidRDefault="00743137" w:rsidP="00743137"/>
    <w:p w:rsidR="00743137" w:rsidRDefault="00743137" w:rsidP="00743137"/>
    <w:p w:rsidR="00743137" w:rsidRDefault="00743137" w:rsidP="00743137"/>
    <w:p w:rsidR="00743137" w:rsidRDefault="00743137" w:rsidP="00743137"/>
    <w:p w:rsidR="00743137" w:rsidRDefault="00743137" w:rsidP="00743137"/>
    <w:p w:rsidR="00743137" w:rsidRDefault="00743137" w:rsidP="00743137">
      <w:proofErr w:type="gramStart"/>
      <w:r>
        <w:t>DAĞITIM :</w:t>
      </w:r>
      <w:proofErr w:type="gramEnd"/>
    </w:p>
    <w:tbl>
      <w:tblPr>
        <w:tblW w:w="0" w:type="auto"/>
        <w:tblLook w:val="04A0" w:firstRow="1" w:lastRow="0" w:firstColumn="1" w:lastColumn="0" w:noHBand="0" w:noVBand="1"/>
      </w:tblPr>
      <w:tblGrid>
        <w:gridCol w:w="9212"/>
      </w:tblGrid>
      <w:tr w:rsidR="00743137" w:rsidTr="00743137">
        <w:tc>
          <w:tcPr>
            <w:tcW w:w="9212" w:type="dxa"/>
            <w:hideMark/>
          </w:tcPr>
          <w:p w:rsidR="00743137" w:rsidRDefault="00743137">
            <w:pPr>
              <w:spacing w:line="276" w:lineRule="auto"/>
              <w:rPr>
                <w:rFonts w:eastAsia="Calibri"/>
                <w:lang w:eastAsia="en-US"/>
              </w:rPr>
            </w:pPr>
            <w:r>
              <w:rPr>
                <w:rFonts w:eastAsia="Calibri"/>
                <w:lang w:eastAsia="en-US"/>
              </w:rPr>
              <w:t>81 İl Valiliğine (Defterdarlık)</w:t>
            </w:r>
          </w:p>
        </w:tc>
      </w:tr>
    </w:tbl>
    <w:p w:rsidR="00743137" w:rsidRDefault="00743137" w:rsidP="00743137"/>
    <w:p w:rsidR="00505011" w:rsidRDefault="00505011"/>
    <w:sectPr w:rsidR="005050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E20"/>
    <w:rsid w:val="00067E20"/>
    <w:rsid w:val="00505011"/>
    <w:rsid w:val="00743137"/>
    <w:rsid w:val="00B52B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13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13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9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3310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Muhasebat Gn.Md.</Company>
  <LinksUpToDate>false</LinksUpToDate>
  <CharactersWithSpaces>3883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havci1</dc:creator>
  <cp:lastModifiedBy>Yasin</cp:lastModifiedBy>
  <cp:revision>2</cp:revision>
  <dcterms:created xsi:type="dcterms:W3CDTF">2016-04-05T08:41:00Z</dcterms:created>
  <dcterms:modified xsi:type="dcterms:W3CDTF">2016-04-05T08:41:00Z</dcterms:modified>
</cp:coreProperties>
</file>